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0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0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_10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0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0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0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Векторная графика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5 лет)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Векторная графика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5 лет)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Центра «Детский технопарк «Кванториум»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(далее – образовательная программа, Центр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Алые паруса», Центр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Детский технопарк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1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10-12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Детский технопарк «Кванториум»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left="36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Создание условий для формирования ключевых компетенций через исследов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тельскую деятельность, тренинговые упражнения, применяемые в деятельности по программе,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щь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учащемуся, участвующему в них, узнать многое о моделировании, проектировании, програ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мировании и прогнозировании, своем отношении к миру.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41"/>
        <w:pBdr/>
        <w:spacing/>
        <w:ind/>
        <w:jc w:val="both"/>
        <w:rPr>
          <w:rFonts w:ascii="PT Astra Serif" w:hAnsi="PT Astra Serif" w:cs="PT Astra Serif"/>
          <w:i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i/>
          <w:color w:val="000000"/>
          <w:sz w:val="28"/>
          <w:szCs w:val="28"/>
        </w:rPr>
        <w:t xml:space="preserve">Образовательные</w:t>
      </w:r>
      <w:r>
        <w:rPr>
          <w:rFonts w:ascii="PT Astra Serif" w:hAnsi="PT Astra Serif" w:eastAsia="PT Astra Serif" w:cs="PT Astra Serif"/>
          <w:i/>
          <w:color w:val="000000"/>
          <w:sz w:val="28"/>
          <w:szCs w:val="28"/>
        </w:rPr>
        <w:t xml:space="preserve">:</w:t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</w:p>
    <w:p>
      <w:pPr>
        <w:pStyle w:val="621"/>
        <w:widowControl w:val="true"/>
        <w:numPr>
          <w:ilvl w:val="0"/>
          <w:numId w:val="1"/>
        </w:numPr>
        <w:pBdr/>
        <w:spacing w:after="16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Научить формулировать задачи проекта, основные характеристики проектного продукта, гот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вить проектную документацию.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1"/>
        </w:numPr>
        <w:pBdr/>
        <w:spacing w:after="16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базовые навыки проектирования, моделирования и макетирования;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1"/>
        </w:numPr>
        <w:pBdr/>
        <w:spacing w:after="16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Научить пользоваться программой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Figma;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1"/>
        </w:numPr>
        <w:pBdr/>
        <w:spacing w:after="16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Ознакомить с правилами безопасной работы с инструментами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техникой, используемой при работе над учебными проектами.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pBdr/>
        <w:spacing/>
        <w:ind w:left="502"/>
        <w:jc w:val="both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Воспит</w:t>
      </w:r>
      <w:r>
        <w:rPr>
          <w:rFonts w:ascii="PT Astra Serif" w:hAnsi="PT Astra Serif" w:eastAsia="PT Astra Serif" w:cs="PT Astra Serif"/>
          <w:i/>
          <w:sz w:val="28"/>
          <w:szCs w:val="28"/>
          <w:lang w:val="ru-RU"/>
        </w:rPr>
        <w:t xml:space="preserve">ательные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:</w:t>
      </w:r>
      <w:r>
        <w:rPr>
          <w:rFonts w:ascii="PT Astra Serif" w:hAnsi="PT Astra Serif" w:cs="PT Astra Serif"/>
          <w:i/>
          <w:sz w:val="24"/>
          <w:szCs w:val="24"/>
        </w:rPr>
      </w:r>
      <w:r>
        <w:rPr>
          <w:rFonts w:ascii="PT Astra Serif" w:hAnsi="PT Astra Serif" w:cs="PT Astra Serif"/>
          <w:i/>
          <w:sz w:val="24"/>
          <w:szCs w:val="24"/>
        </w:rPr>
      </w:r>
    </w:p>
    <w:p>
      <w:pPr>
        <w:pStyle w:val="621"/>
        <w:widowControl w:val="true"/>
        <w:numPr>
          <w:ilvl w:val="0"/>
          <w:numId w:val="2"/>
        </w:numPr>
        <w:pBdr/>
        <w:spacing w:after="16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творческое отношение   к выполняемой работе;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2"/>
        </w:numPr>
        <w:pBdr/>
        <w:spacing w:after="160"/>
        <w:ind w:right="137"/>
        <w:jc w:val="both"/>
        <w:rPr>
          <w:rFonts w:ascii="PT Astra Serif" w:hAnsi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умение работать в коллективе, эффективно распределять обязанности.</w:t>
      </w:r>
      <w:r>
        <w:rPr>
          <w:rFonts w:ascii="PT Astra Serif" w:hAnsi="PT Astra Serif" w:cs="PT Astra Serif"/>
          <w:i/>
          <w:sz w:val="28"/>
          <w:szCs w:val="28"/>
        </w:rPr>
      </w:r>
      <w:r>
        <w:rPr>
          <w:rFonts w:ascii="PT Astra Serif" w:hAnsi="PT Astra Serif" w:cs="PT Astra Serif"/>
          <w:i/>
          <w:sz w:val="28"/>
          <w:szCs w:val="28"/>
        </w:rPr>
      </w:r>
    </w:p>
    <w:p>
      <w:pPr>
        <w:pStyle w:val="621"/>
        <w:pBdr/>
        <w:spacing/>
        <w:ind w:left="502"/>
        <w:jc w:val="both"/>
        <w:rPr>
          <w:rFonts w:ascii="PT Astra Serif" w:hAnsi="PT Astra Serif" w:cs="PT Astra Serif"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Развивающие:</w:t>
      </w:r>
      <w:r>
        <w:rPr>
          <w:rFonts w:ascii="PT Astra Serif" w:hAnsi="PT Astra Serif" w:cs="PT Astra Serif"/>
          <w:i/>
          <w:iCs/>
          <w:sz w:val="24"/>
          <w:szCs w:val="24"/>
        </w:rPr>
      </w:r>
      <w:r>
        <w:rPr>
          <w:rFonts w:ascii="PT Astra Serif" w:hAnsi="PT Astra Serif" w:cs="PT Astra Serif"/>
          <w:i/>
          <w:iCs/>
          <w:sz w:val="24"/>
          <w:szCs w:val="24"/>
        </w:rPr>
      </w:r>
    </w:p>
    <w:p>
      <w:pPr>
        <w:pStyle w:val="621"/>
        <w:widowControl w:val="true"/>
        <w:numPr>
          <w:ilvl w:val="0"/>
          <w:numId w:val="3"/>
        </w:numPr>
        <w:pBdr/>
        <w:spacing w:after="16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творческую инициативу и самостоятельность;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3"/>
        </w:numPr>
        <w:pBdr/>
        <w:spacing w:after="160"/>
        <w:ind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widowControl w:val="true"/>
        <w:numPr>
          <w:ilvl w:val="0"/>
          <w:numId w:val="3"/>
        </w:numPr>
        <w:pBdr/>
        <w:spacing w:after="160"/>
        <w:ind w:right="13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 w:right="137" w:firstLine="0" w:left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директора,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Пантелеев М.А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42"/>
        <w:pBdr/>
        <w:spacing/>
        <w:ind w:left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Дополнительная общеразвивающая программа “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Векторная графика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”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является программой технической направленности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разработана на основе проектно-исследовательской технологии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обучения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ориентирована на профориентацию учащихся, работу с их интересами и развитие личностных компетенций школьников.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Суть данной технологии заключается в том, чтобы стимулировать интерес учащихся к определенным проблемам, решению этих проблем и умению практически применять полученные знания.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2"/>
        <w:pBdr/>
        <w:spacing/>
        <w:ind w:left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Результатом применения этой технологии является создание собственного интеллектуального или творческого продукта, предназначенного для активного применения в образовательной практике, в быту и в различных отраслях промышленности.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font345">
    <w:panose1 w:val="05040102010807070707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40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41" w:customStyle="1">
    <w:name w:val="Body Text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42" w:customStyle="1">
    <w:name w:val="Абзац списка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60" w:afterAutospacing="0" w:before="0" w:beforeAutospacing="0" w:line="259" w:lineRule="auto"/>
      <w:ind w:right="0" w:firstLine="0" w:left="720"/>
      <w:contextualSpacing w:val="true"/>
      <w:jc w:val="left"/>
    </w:pPr>
    <w:rPr>
      <w:rFonts w:ascii="Calibri" w:hAnsi="Calibri" w:eastAsia="Calibri" w:cs="font345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2025-09-19T13:27:12Z</dcterms:created>
  <dcterms:modified xsi:type="dcterms:W3CDTF">2025-09-19T13:28:28Z</dcterms:modified>
</cp:coreProperties>
</file>