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oform/main.xml" ContentType="oform/main+xml"/>
  <Default Extension="docxf" ContentType="application/vnd.openxmlformats-officedocument.wordprocessingml.document.docxf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/>
      <w:r/>
    </w:p>
    <w:tbl>
      <w:tblPr>
        <w:tblW w:w="10140" w:type="dxa"/>
        <w:jc w:val="center"/>
        <w:tblBorders/>
        <w:tblLayout w:type="fixed"/>
        <w:tblLook w:val="04A0" w:firstRow="1" w:lastRow="0" w:firstColumn="1" w:lastColumn="0" w:noHBand="0" w:noVBand="1"/>
      </w:tblPr>
      <w:tblGrid>
        <w:gridCol w:w="4102"/>
        <w:gridCol w:w="6038"/>
      </w:tblGrid>
      <w:tr>
        <w:trPr>
          <w:jc w:val="center"/>
          <w:trHeight w:val="3260"/>
        </w:trPr>
        <w:tc>
          <w:tcPr>
            <w:tcBorders/>
            <w:tcW w:w="4101" w:type="dxa"/>
            <w:textDirection w:val="lrTb"/>
            <w:noWrap w:val="false"/>
          </w:tcPr>
          <w:p>
            <w:pPr>
              <w:pStyle w:val="1_635"/>
              <w:pBdr/>
              <w:shd w:val="clear" w:color="auto" w:fill="auto"/>
              <w:spacing w:after="0" w:line="240" w:lineRule="auto"/>
              <w:ind/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bookmarkStart w:id="0" w:name="_Hlk95722254"/>
            <w:r>
              <w:rPr>
                <w:rFonts w:ascii="PT Astra Serif" w:hAnsi="PT Astra Serif" w:eastAsia="PT Astra Serif" w:cs="PT Astra Serif"/>
                <w:b/>
                <w:caps/>
                <w:sz w:val="28"/>
                <w:szCs w:val="28"/>
              </w:rPr>
              <w:t xml:space="preserve">РАССМОТРЕНО</w:t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</w:p>
          <w:p>
            <w:pPr>
              <w:pStyle w:val="1_635"/>
              <w:pBdr/>
              <w:spacing w:after="0" w:line="240" w:lineRule="auto"/>
              <w:ind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 Экспертном совете областной государственной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автономной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нетиповой образовательной организации «Центр выявления и поддержки одарённых детей в Ульяновской области «Алые паруса»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1_635"/>
              <w:pBdr/>
              <w:shd w:val="clear" w:color="auto" w:fill="auto"/>
              <w:spacing w:after="0" w:line="240" w:lineRule="auto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Протокол 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1_635"/>
              <w:pBdr/>
              <w:shd w:val="clear" w:color="auto" w:fill="auto"/>
              <w:spacing w:after="0" w:line="240" w:lineRule="auto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 1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от 10 апреля 2025 г.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Borders/>
            <w:tcW w:w="6037" w:type="dxa"/>
            <w:textDirection w:val="lrTb"/>
            <w:noWrap w:val="false"/>
          </w:tcPr>
          <w:p>
            <w:pPr>
              <w:pBdr/>
              <w:spacing w:line="240" w:lineRule="auto"/>
              <w:ind w:right="-5" w:left="1003"/>
              <w:jc w:val="center"/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/>
                <w:caps/>
                <w:sz w:val="28"/>
                <w:szCs w:val="28"/>
              </w:rPr>
              <w:t xml:space="preserve">ПРИЛОЖЕНИЕ №1</w:t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</w:p>
          <w:p>
            <w:pPr>
              <w:pStyle w:val="1_635"/>
              <w:pBdr/>
              <w:shd w:val="clear" w:color="auto" w:fill="auto"/>
              <w:spacing w:after="0" w:line="240" w:lineRule="auto"/>
              <w:ind w:left="1003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 приказу областной государственной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автономной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нетиповой образовательной организации «Центр выявления и поддержки одарённых детей в Ульяновской области «Алые паруса»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Bdr/>
              <w:spacing w:line="240" w:lineRule="auto"/>
              <w:ind w:right="-5" w:left="1003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ru-RU"/>
              </w:rPr>
              <w:t xml:space="preserve">________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u w:val="singl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_ № 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ru-RU"/>
              </w:rPr>
              <w:t xml:space="preserve">_______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rPr>
          <w:jc w:val="center"/>
          <w:trHeight w:val="3260"/>
        </w:trPr>
        <w:tc>
          <w:tcPr>
            <w:tcBorders/>
            <w:tcW w:w="4101" w:type="dxa"/>
            <w:textDirection w:val="lrTb"/>
            <w:noWrap w:val="false"/>
          </w:tcPr>
          <w:p>
            <w:pPr>
              <w:pStyle w:val="1_635"/>
              <w:pBdr/>
              <w:shd w:val="clear" w:color="auto" w:fill="auto"/>
              <w:spacing w:after="0" w:line="240" w:lineRule="auto"/>
              <w:ind/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/>
                <w:caps/>
                <w:sz w:val="28"/>
                <w:szCs w:val="28"/>
              </w:rPr>
              <w:t xml:space="preserve">ПРИНЯТО</w:t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/>
                <w:caps/>
                <w:sz w:val="28"/>
                <w:szCs w:val="28"/>
              </w:rPr>
            </w:r>
          </w:p>
          <w:p>
            <w:pPr>
              <w:pStyle w:val="1_635"/>
              <w:pBdr/>
              <w:spacing w:after="0" w:line="240" w:lineRule="auto"/>
              <w:ind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Cs/>
                <w:sz w:val="28"/>
                <w:szCs w:val="28"/>
              </w:rPr>
              <w:t xml:space="preserve">на Педагогическом совете областной государственной </w:t>
            </w:r>
            <w:r>
              <w:rPr>
                <w:rFonts w:ascii="PT Astra Serif" w:hAnsi="PT Astra Serif" w:eastAsia="PT Astra Serif" w:cs="PT Astra Serif"/>
                <w:bCs/>
                <w:sz w:val="28"/>
                <w:szCs w:val="28"/>
              </w:rPr>
              <w:t xml:space="preserve">автономной</w:t>
            </w:r>
            <w:r>
              <w:rPr>
                <w:rFonts w:ascii="PT Astra Serif" w:hAnsi="PT Astra Serif" w:eastAsia="PT Astra Serif" w:cs="PT Astra Serif"/>
                <w:bCs/>
                <w:sz w:val="28"/>
                <w:szCs w:val="28"/>
              </w:rPr>
              <w:t xml:space="preserve"> нетиповой образовательной организации «Центр выявления и поддержки одарённых детей в Ульяновской области «Алые паруса»</w:t>
            </w:r>
            <w:r>
              <w:rPr>
                <w:rFonts w:ascii="PT Astra Serif" w:hAnsi="PT Astra Serif" w:cs="PT Astra Serif"/>
                <w:bC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sz w:val="28"/>
                <w:szCs w:val="28"/>
              </w:rPr>
            </w:r>
          </w:p>
          <w:p>
            <w:pPr>
              <w:pStyle w:val="1_635"/>
              <w:pBdr/>
              <w:spacing w:after="0" w:line="240" w:lineRule="auto"/>
              <w:ind/>
              <w:rPr>
                <w:rFonts w:ascii="PT Astra Serif" w:hAnsi="PT Astra Serif" w:cs="PT Astra Serif"/>
                <w:bC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Cs/>
                <w:sz w:val="28"/>
                <w:szCs w:val="28"/>
              </w:rPr>
              <w:t xml:space="preserve">Протокол  </w:t>
            </w:r>
            <w:r>
              <w:rPr>
                <w:rFonts w:ascii="PT Astra Serif" w:hAnsi="PT Astra Serif" w:cs="PT Astra Serif"/>
                <w:bC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sz w:val="28"/>
                <w:szCs w:val="28"/>
              </w:rPr>
            </w:r>
          </w:p>
          <w:p>
            <w:pPr>
              <w:pStyle w:val="1_635"/>
              <w:pBdr/>
              <w:shd w:val="clear" w:color="auto" w:fill="auto"/>
              <w:spacing w:after="0" w:line="240" w:lineRule="auto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 1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15 апреля 2025 г.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pStyle w:val="1_635"/>
              <w:pBdr/>
              <w:shd w:val="clear" w:color="auto" w:fill="auto"/>
              <w:spacing w:after="0" w:line="240" w:lineRule="auto"/>
              <w:ind/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Cs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r>
          </w:p>
        </w:tc>
        <w:tc>
          <w:tcPr>
            <w:tcBorders/>
            <w:tcW w:w="6037" w:type="dxa"/>
            <w:textDirection w:val="lrTb"/>
            <w:noWrap w:val="false"/>
          </w:tcPr>
          <w:p>
            <w:pPr>
              <w:pBdr/>
              <w:spacing w:line="240" w:lineRule="auto"/>
              <w:ind w:right="-5" w:left="1003"/>
              <w:jc w:val="center"/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bCs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r>
            <w:r>
              <w:rPr>
                <w:rFonts w:ascii="PT Astra Serif" w:hAnsi="PT Astra Serif" w:cs="PT Astra Serif"/>
                <w:bCs/>
                <w:caps/>
                <w:sz w:val="28"/>
                <w:szCs w:val="28"/>
              </w:rPr>
            </w:r>
          </w:p>
        </w:tc>
      </w:tr>
      <w:tr>
        <w:trPr>
          <w:jc w:val="center"/>
        </w:trPr>
        <w:tc>
          <w:tcPr>
            <w:tcBorders/>
            <w:tcW w:w="4101" w:type="dxa"/>
            <w:textDirection w:val="lrTb"/>
            <w:noWrap w:val="false"/>
          </w:tcPr>
          <w:p>
            <w:pPr>
              <w:pStyle w:val="1_635"/>
              <w:pBdr/>
              <w:shd w:val="clear" w:color="auto" w:fill="auto"/>
              <w:spacing w:after="0" w:line="240" w:lineRule="auto"/>
              <w:ind w:left="142"/>
              <w:rPr>
                <w:rFonts w:ascii="PT Astra Serif" w:hAnsi="PT Astra Serif"/>
                <w:b/>
                <w:cap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</w:p>
        </w:tc>
        <w:tc>
          <w:tcPr>
            <w:tcBorders/>
            <w:tcW w:w="6037" w:type="dxa"/>
            <w:textDirection w:val="lrTb"/>
            <w:noWrap w:val="false"/>
          </w:tcPr>
          <w:p>
            <w:pPr>
              <w:pBdr/>
              <w:spacing w:line="240" w:lineRule="auto"/>
              <w:ind w:right="-5" w:left="1003"/>
              <w:jc w:val="center"/>
              <w:rPr>
                <w:rFonts w:ascii="PT Astra Serif" w:hAnsi="PT Astra Serif"/>
                <w:b/>
                <w:cap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  <w:bookmarkEnd w:id="0"/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  <w:r>
              <w:rPr>
                <w:rFonts w:ascii="PT Astra Serif" w:hAnsi="PT Astra Serif"/>
                <w:b/>
                <w:caps/>
                <w:sz w:val="28"/>
                <w:szCs w:val="28"/>
              </w:rPr>
            </w:r>
          </w:p>
        </w:tc>
      </w:tr>
    </w:tbl>
    <w:p>
      <w:pPr>
        <w:keepNext w:val="true"/>
        <w:keepLines w:val="true"/>
        <w:pBdr/>
        <w:spacing w:line="240" w:lineRule="auto"/>
        <w:ind/>
        <w:jc w:val="center"/>
        <w:outlineLvl w:val="0"/>
        <w:rPr>
          <w:rFonts w:ascii="PT Astra Serif" w:hAnsi="PT Astra Serif"/>
          <w:b/>
          <w:bCs/>
          <w:sz w:val="28"/>
          <w:szCs w:val="28"/>
          <w:lang w:eastAsia="ru-RU"/>
        </w:rPr>
      </w:pPr>
      <w:r>
        <w:rPr>
          <w:rFonts w:ascii="PT Astra Serif" w:hAnsi="PT Astra Serif"/>
          <w:b/>
          <w:bCs/>
          <w:sz w:val="28"/>
          <w:szCs w:val="28"/>
          <w:lang w:eastAsia="ru-RU"/>
        </w:rPr>
        <w:t xml:space="preserve">ПОЛОЖЕНИЕ</w:t>
      </w:r>
      <w:r>
        <w:rPr>
          <w:rFonts w:ascii="PT Astra Serif" w:hAnsi="PT Astra Serif"/>
          <w:b/>
          <w:bCs/>
          <w:sz w:val="28"/>
          <w:szCs w:val="28"/>
          <w:lang w:eastAsia="ru-RU"/>
        </w:rPr>
      </w:r>
      <w:r>
        <w:rPr>
          <w:rFonts w:ascii="PT Astra Serif" w:hAnsi="PT Astra Serif"/>
          <w:b/>
          <w:bCs/>
          <w:sz w:val="28"/>
          <w:szCs w:val="28"/>
          <w:lang w:eastAsia="ru-RU"/>
        </w:rPr>
      </w:r>
    </w:p>
    <w:p>
      <w:pPr>
        <w:pBdr/>
        <w:spacing w:line="240" w:lineRule="auto"/>
        <w:ind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 дополнительной общеобразовательной </w:t>
      </w:r>
      <w:r>
        <w:rPr>
          <w:rFonts w:ascii="PT Astra Serif" w:hAnsi="PT Astra Serif"/>
          <w:b/>
          <w:sz w:val="28"/>
          <w:szCs w:val="28"/>
        </w:rPr>
        <w:t xml:space="preserve">общеразвивающей программе 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1_634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Autospacing="0" w:beforeAutospacing="0" w:line="240" w:lineRule="auto"/>
        <w:ind w:firstLine="0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«</w:t>
      </w:r>
      <w:r>
        <w:rPr>
          <w:rFonts w:ascii="PT Astra Serif" w:hAnsi="PT Astra Serif"/>
          <w:b/>
          <w:bCs/>
          <w:color w:val="000000"/>
          <w:sz w:val="28"/>
          <w:szCs w:val="28"/>
          <w:lang w:val="ru-RU"/>
        </w:rPr>
        <w:t xml:space="preserve">Программирование на языке </w:t>
      </w:r>
      <w:r>
        <w:rPr>
          <w:rFonts w:ascii="PT Astra Serif" w:hAnsi="PT Astra Serif"/>
          <w:b/>
          <w:bCs/>
          <w:color w:val="000000"/>
          <w:sz w:val="28"/>
          <w:szCs w:val="28"/>
          <w:lang w:val="en-US"/>
        </w:rPr>
        <w:t xml:space="preserve">Python</w:t>
      </w:r>
      <w:r>
        <w:rPr>
          <w:rFonts w:ascii="PT Astra Serif" w:hAnsi="PT Astra Serif" w:eastAsia="PT Astra Serif" w:cs="PT Astra Serif"/>
          <w:b/>
          <w:bCs/>
          <w:sz w:val="28"/>
          <w:szCs w:val="28"/>
          <w:lang w:val="ru-RU"/>
        </w:rPr>
        <w:t xml:space="preserve">»</w:t>
      </w:r>
      <w:r>
        <w:rPr>
          <w:rFonts w:ascii="PT Astra Serif" w:hAnsi="PT Astra Serif" w:eastAsia="PT Astra Serif" w:cs="PT Astra Serif"/>
          <w:b/>
          <w:sz w:val="28"/>
          <w:szCs w:val="28"/>
          <w:lang w:val="ru-RU"/>
        </w:rPr>
        <w:t xml:space="preserve"> (12-17 лет)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pBdr/>
        <w:spacing w:line="240" w:lineRule="auto"/>
        <w:ind/>
        <w:jc w:val="center"/>
        <w:rPr>
          <w:rFonts w:ascii="PT Astra Serif" w:hAnsi="PT Astra Serif"/>
          <w:b/>
          <w:bCs/>
          <w:sz w:val="28"/>
          <w:szCs w:val="28"/>
          <w:highlight w:val="none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 xml:space="preserve">1. Общие положения</w:t>
      </w:r>
      <w:r>
        <w:rPr>
          <w:rFonts w:ascii="PT Astra Serif" w:hAnsi="PT Astra Serif"/>
          <w:b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/>
          <w:b/>
          <w:bCs/>
          <w:sz w:val="28"/>
          <w:szCs w:val="28"/>
          <w:highlight w:val="none"/>
          <w:lang w:eastAsia="ru-RU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1.1. Настоящее Положение определяет порядок организации обучения и проведения отбора на общеобразовательную общеразвивающую программу</w:t>
      </w: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«</w:t>
      </w: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Программирование на </w:t>
      </w: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языке </w:t>
      </w:r>
      <w:r>
        <w:rPr>
          <w:rFonts w:ascii="PT Astra Serif" w:hAnsi="PT Astra Serif"/>
          <w:bCs/>
          <w:color w:val="000000"/>
          <w:sz w:val="28"/>
          <w:szCs w:val="28"/>
          <w:lang w:val="en-US"/>
        </w:rPr>
        <w:t xml:space="preserve">Python</w:t>
      </w: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»</w:t>
      </w:r>
      <w:r>
        <w:rPr>
          <w:rFonts w:ascii="PT Astra Serif" w:hAnsi="PT Astra Serif"/>
          <w:bCs/>
          <w:color w:val="000000"/>
          <w:sz w:val="28"/>
          <w:szCs w:val="28"/>
          <w:lang w:val="en-US"/>
        </w:rPr>
        <w:t xml:space="preserve"> (12-17 </w:t>
      </w:r>
      <w:r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лет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)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«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ОГ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А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Н ОО «Центр «Алые пар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уса»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(далее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о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бразовательная программа, Центр «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Алые паруса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»), методическое обеспечение образовательной программы.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1.2. Образовательная программа проводится в Центре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 детский технопарк «Кванториум» ОГАН ОО «Центр «Алые паруса»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с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0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8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сентября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202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5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года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по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30 мая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202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6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года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1.3. Для участия в образовательной программе приглашаются учащиеся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12-17 лет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из образовательных организаций Ульяновской области.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1.4. К участию в образовательной программе допускаются школьники, являющиеся гражданами Российской Федерации.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1.5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Общее количество участников образовательной программы: до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12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обучающихся (1 группа). По решению педагогического совета, в зависимости от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результатов отбора, возможно увеличение числа участников образовательной программы и перераспределение участников по группам.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1.6. Зачисление в состав обучающихся по образовательной программе, осуществляется по результатам отбора Приказом директора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(исполняющего обязанности директора)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Центра «Алые паруса».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1.7. В связи с целостностью и содержательной логикой образовательной программы, режимом занятий и об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ъёмом академической нагрузки, рассчитанной на период реализации образовательной программы, не допускается участие школьников в отдельных мероприятиях или части образовательной программы, исключено зачисление вне сроков реализации образовательной программы.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1.8. В случае обнаружения недостоверных сведений в заявке на образовательную программу (в т.ч. класса обучения) участник может быть исключён из числа участников мероприятий по отбору на образовательную программу.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1.9. В случае нарушений правил пребывания в Центре «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Алые паруса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» или требований настоящего Положения, участник образовательной программы может быть отчислен с образовательной программы Приказом директора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(исполняющего обязанности директора)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1.10.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Обучающийся может быть отчислен с образовательной программы на основании: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- заявления родителей (обучающегося) об отчислении;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- нарушения правил внутреннего распорядка Центра;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- правил поведения обучающихся Центра и сопровождающих их лиц;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- нарушения Устава Центра;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highlight w:val="none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- нарушения условий Договора.</w:t>
      </w:r>
      <w:r>
        <w:rPr>
          <w:rFonts w:ascii="PT Astra Serif" w:hAnsi="PT Astra Serif" w:eastAsia="Calibri"/>
          <w:sz w:val="28"/>
          <w:szCs w:val="28"/>
          <w:highlight w:val="none"/>
          <w:lang w:eastAsia="en-US"/>
        </w:rPr>
      </w:r>
      <w:r>
        <w:rPr>
          <w:rFonts w:ascii="PT Astra Serif" w:hAnsi="PT Astra Serif" w:eastAsia="Calibri"/>
          <w:sz w:val="28"/>
          <w:szCs w:val="28"/>
          <w:highlight w:val="none"/>
          <w:lang w:eastAsia="en-US"/>
        </w:rPr>
      </w:r>
    </w:p>
    <w:p>
      <w:pPr>
        <w:pBdr/>
        <w:spacing w:line="240" w:lineRule="auto"/>
        <w:ind w:firstLine="709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  <w:lang w:eastAsia="en-US"/>
        </w:rPr>
        <w:t xml:space="preserve">2. Цели и задачи образовательной программы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pBdr/>
        <w:tabs>
          <w:tab w:val="left" w:leader="none" w:pos="709"/>
        </w:tabs>
        <w:spacing w:line="240" w:lineRule="auto"/>
        <w:ind w:right="0" w:firstLine="709" w:lef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b w:val="0"/>
          <w:bCs w:val="0"/>
          <w:color w:val="auto"/>
          <w:sz w:val="28"/>
          <w:szCs w:val="28"/>
          <w:lang w:val="ru-RU"/>
        </w:rPr>
        <w:t xml:space="preserve">2.1 Цель образовательной программ</w:t>
      </w:r>
      <w:r>
        <w:rPr>
          <w:rFonts w:ascii="PT Astra Serif" w:hAnsi="PT Astra Serif" w:eastAsia="PT Astra Serif" w:cs="PT Astra Serif"/>
          <w:b/>
          <w:color w:val="auto"/>
          <w:sz w:val="28"/>
          <w:szCs w:val="28"/>
          <w:lang w:val="ru-RU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lang w:val="ru-RU"/>
        </w:rPr>
        <w:t xml:space="preserve">Ф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ормирование познавательной активности обучающихся в области объектно-ориентированного и функционал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ьного программирования и алгоритмизации, приобретение необходимых навыков работы с информацией, а также получение первичного опыта работы с базовыми конструкциями языка программирования на основе работы в интегрированных средах разработки на языке Python.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2.2. Задачи образовательной программы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Style w:val="620"/>
        <w:pBdr/>
        <w:spacing w:line="240" w:lineRule="auto"/>
        <w:ind/>
        <w:jc w:val="left"/>
        <w:rPr>
          <w:rFonts w:ascii="PT Astra Serif" w:hAnsi="PT Astra Serif" w:cs="PT Astra Serif"/>
          <w:bCs/>
          <w:i/>
          <w:iCs/>
          <w:sz w:val="28"/>
          <w:szCs w:val="28"/>
          <w:u w:val="single"/>
        </w:rPr>
      </w:pPr>
      <w:r>
        <w:rPr>
          <w:rFonts w:ascii="PT Astra Serif" w:hAnsi="PT Astra Serif" w:eastAsia="PT Astra Serif" w:cs="PT Astra Serif"/>
          <w:bCs/>
          <w:i/>
          <w:iCs/>
          <w:sz w:val="28"/>
          <w:szCs w:val="28"/>
          <w:u w:val="single"/>
        </w:rPr>
        <w:t xml:space="preserve">Об</w:t>
      </w:r>
      <w:r>
        <w:rPr>
          <w:rFonts w:ascii="PT Astra Serif" w:hAnsi="PT Astra Serif" w:eastAsia="PT Astra Serif" w:cs="PT Astra Serif"/>
          <w:bCs/>
          <w:i/>
          <w:iCs/>
          <w:sz w:val="28"/>
          <w:szCs w:val="28"/>
          <w:u w:val="single"/>
        </w:rPr>
        <w:t xml:space="preserve">разовательные:</w:t>
      </w:r>
      <w:r>
        <w:rPr>
          <w:rFonts w:ascii="PT Astra Serif" w:hAnsi="PT Astra Serif" w:cs="PT Astra Serif"/>
          <w:bCs/>
          <w:i/>
          <w:iCs/>
          <w:sz w:val="28"/>
          <w:szCs w:val="28"/>
          <w:u w:val="single"/>
        </w:rPr>
      </w:r>
      <w:r>
        <w:rPr>
          <w:rFonts w:ascii="PT Astra Serif" w:hAnsi="PT Astra Serif" w:cs="PT Astra Serif"/>
          <w:bCs/>
          <w:i/>
          <w:iCs/>
          <w:sz w:val="28"/>
          <w:szCs w:val="28"/>
          <w:u w:val="single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знакомство с комплексом базовых понятий и принципов функционального и объектно-ориентированного программирования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Python;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приобретение базовых навыков работы с основными конструкциями языка программирования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Python.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формирование необходимых навыков работы с информацией (поиск, анализ, использование информации в сети Интернет).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–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формирование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навыков разработки эффективных алгоритмов и программ на основе изученного языка программирования Python;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– получение навыков работы со специальными средствами и библиотеками языка Python;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получение опыта написания грамотного, красивого кода, умение находить и обрабатывать ошибки в коде;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_634"/>
        <w:pBdr/>
        <w:spacing w:line="240" w:lineRule="auto"/>
        <w:ind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умение на практике использовать сложные структуры данных.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/>
        <w:jc w:val="left"/>
        <w:rPr>
          <w:rFonts w:ascii="PT Astra Serif" w:hAnsi="PT Astra Serif" w:cs="PT Astra Serif"/>
          <w:bCs/>
          <w:i/>
          <w:sz w:val="28"/>
          <w:szCs w:val="28"/>
          <w:u w:val="single"/>
        </w:rPr>
      </w:pPr>
      <w:r>
        <w:rPr>
          <w:rFonts w:ascii="PT Astra Serif" w:hAnsi="PT Astra Serif" w:eastAsia="PT Astra Serif" w:cs="PT Astra Serif"/>
          <w:bCs/>
          <w:i/>
          <w:sz w:val="28"/>
          <w:szCs w:val="28"/>
          <w:u w:val="single"/>
        </w:rPr>
        <w:t xml:space="preserve">Развивающие:</w:t>
      </w:r>
      <w:r>
        <w:rPr>
          <w:rFonts w:ascii="PT Astra Serif" w:hAnsi="PT Astra Serif" w:cs="PT Astra Serif"/>
          <w:bCs/>
          <w:i/>
          <w:sz w:val="28"/>
          <w:szCs w:val="28"/>
          <w:u w:val="single"/>
        </w:rPr>
      </w:r>
      <w:r>
        <w:rPr>
          <w:rFonts w:ascii="PT Astra Serif" w:hAnsi="PT Astra Serif" w:cs="PT Astra Serif"/>
          <w:bCs/>
          <w:i/>
          <w:sz w:val="28"/>
          <w:szCs w:val="28"/>
          <w:u w:val="single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развитие умения творчески подходить к решению поставленной задачи;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развитие вариативного мышления;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развитие фантазии и образного мышлен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bCs/>
          <w:i/>
          <w:sz w:val="28"/>
          <w:szCs w:val="28"/>
          <w:u w:val="single"/>
        </w:rPr>
      </w:pPr>
      <w:r>
        <w:rPr>
          <w:rFonts w:ascii="PT Astra Serif" w:hAnsi="PT Astra Serif" w:eastAsia="PT Astra Serif" w:cs="PT Astra Serif"/>
          <w:bCs/>
          <w:i/>
          <w:sz w:val="28"/>
          <w:szCs w:val="28"/>
          <w:u w:val="single"/>
        </w:rPr>
        <w:t xml:space="preserve">Воспитательные:</w:t>
      </w:r>
      <w:r>
        <w:rPr>
          <w:rFonts w:ascii="PT Astra Serif" w:hAnsi="PT Astra Serif" w:cs="PT Astra Serif"/>
          <w:bCs/>
          <w:i/>
          <w:sz w:val="28"/>
          <w:szCs w:val="28"/>
          <w:u w:val="single"/>
        </w:rPr>
      </w:r>
      <w:r>
        <w:rPr>
          <w:rFonts w:ascii="PT Astra Serif" w:hAnsi="PT Astra Serif" w:cs="PT Astra Serif"/>
          <w:bCs/>
          <w:i/>
          <w:sz w:val="28"/>
          <w:szCs w:val="28"/>
          <w:u w:val="single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формирование человека, готового к творческой деятельности в любой области;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развитие аккуратности, усидчивости обучающихся;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формирование умения работать в команде;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-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воспитание уважения к чужому мнению;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pPr>
      <w:r>
        <w:rPr>
          <w:rFonts w:ascii="PT Astra Serif" w:hAnsi="PT Astra Serif" w:eastAsia="PT Astra Serif" w:cs="PT Astra Serif" w:eastAsiaTheme="minorHAnsi"/>
          <w:sz w:val="28"/>
          <w:szCs w:val="28"/>
          <w:lang w:eastAsia="en-US"/>
        </w:rPr>
        <w:t xml:space="preserve">- </w:t>
      </w:r>
      <w:r>
        <w:rPr>
          <w:rFonts w:ascii="PT Astra Serif" w:hAnsi="PT Astra Serif" w:eastAsia="PT Astra Serif" w:cs="PT Astra Serif" w:eastAsiaTheme="minorHAnsi"/>
          <w:sz w:val="28"/>
          <w:szCs w:val="28"/>
          <w:lang w:eastAsia="en-US"/>
        </w:rPr>
        <w:t xml:space="preserve">профессиональная ориентация обучающихся</w:t>
      </w: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</w:p>
    <w:p>
      <w:pPr>
        <w:pStyle w:val="620"/>
        <w:widowControl w:val="false"/>
        <w:pBdr/>
        <w:spacing w:line="240" w:lineRule="auto"/>
        <w:ind w:firstLine="0" w:left="360"/>
        <w:jc w:val="left"/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pP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</w:p>
    <w:p>
      <w:pPr>
        <w:pStyle w:val="620"/>
        <w:widowControl w:val="false"/>
        <w:pBdr/>
        <w:spacing w:line="240" w:lineRule="auto"/>
        <w:ind w:right="0" w:firstLine="1341" w:left="360"/>
        <w:jc w:val="left"/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pP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3. </w:t>
      </w:r>
      <w:bookmarkStart w:id="1" w:name="_Hlk95490886"/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Порядок отбора участников образовательной программы</w:t>
      </w:r>
      <w:bookmarkEnd w:id="1"/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  <w:r>
        <w:rPr>
          <w:rFonts w:ascii="PT Astra Serif" w:hAnsi="PT Astra Serif" w:cs="PT Astra Serif" w:eastAsiaTheme="minorHAnsi"/>
          <w:sz w:val="28"/>
          <w:szCs w:val="28"/>
          <w:highlight w:val="none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3.1 Для участия в мероприятиях по отбору необходимо пройти регистрацию на сайте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</w:rPr>
        <w:t xml:space="preserve">Единый портал государственных услуг Российской Федерации»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highlight w:val="white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3.2. Регистрация на образовательную программу с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01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апреля 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202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5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года по 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3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1 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августа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202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5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года включительно.</w:t>
      </w:r>
      <w:r>
        <w:rPr>
          <w:rFonts w:ascii="PT Astra Serif" w:hAnsi="PT Astra Serif" w:eastAsia="Calibri"/>
          <w:sz w:val="28"/>
          <w:szCs w:val="28"/>
          <w:highlight w:val="white"/>
        </w:rPr>
      </w:r>
      <w:r>
        <w:rPr>
          <w:rFonts w:ascii="PT Astra Serif" w:hAnsi="PT Astra Serif" w:eastAsia="Calibri"/>
          <w:sz w:val="28"/>
          <w:szCs w:val="28"/>
          <w:highlight w:val="white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3.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3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. Отбор участников образовательной программы осуществляется комиссией в составе: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Председатель: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Т.А. Хмелевская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директор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;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highlight w:val="none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Члены комиссии: </w:t>
      </w:r>
      <w:r>
        <w:rPr>
          <w:rFonts w:ascii="PT Astra Serif" w:hAnsi="PT Astra Serif" w:eastAsia="Calibri"/>
          <w:sz w:val="28"/>
          <w:szCs w:val="28"/>
          <w:highlight w:val="none"/>
          <w:lang w:eastAsia="en-US"/>
        </w:rPr>
      </w:r>
      <w:r>
        <w:rPr>
          <w:rFonts w:ascii="PT Astra Serif" w:hAnsi="PT Astra Serif" w:eastAsia="Calibri"/>
          <w:sz w:val="28"/>
          <w:szCs w:val="28"/>
          <w:highlight w:val="none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highlight w:val="none"/>
          <w:lang w:val="ru-RU"/>
        </w:rPr>
        <w:t xml:space="preserve">Чиликина А.В.-заместитель директора,член Экспертного Совета.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val="ru-RU"/>
        </w:rPr>
        <w:t xml:space="preserve">Королёва О.И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– зам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еститель 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директора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val="ru-RU"/>
        </w:rPr>
        <w:t xml:space="preserve">Лосев Е.О.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 – педагог дополнительного образования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lang w:eastAsia="en-US"/>
        </w:rPr>
      </w:pPr>
      <w:r>
        <w:rPr>
          <w:rFonts w:ascii="PT Astra Serif" w:hAnsi="PT Astra Serif" w:eastAsia="Calibri"/>
          <w:sz w:val="28"/>
          <w:szCs w:val="28"/>
          <w:lang w:eastAsia="en-US"/>
        </w:rPr>
        <w:t xml:space="preserve">Секретарь: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Листунова М.И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. – </w:t>
      </w:r>
      <w:r>
        <w:rPr>
          <w:rFonts w:ascii="PT Astra Serif" w:hAnsi="PT Astra Serif" w:eastAsia="Calibri"/>
          <w:sz w:val="28"/>
          <w:szCs w:val="28"/>
          <w:lang w:val="ru-RU"/>
        </w:rPr>
        <w:t xml:space="preserve">старший методист</w:t>
      </w:r>
      <w:r>
        <w:rPr>
          <w:rFonts w:ascii="PT Astra Serif" w:hAnsi="PT Astra Serif" w:eastAsia="Calibri"/>
          <w:sz w:val="28"/>
          <w:szCs w:val="28"/>
          <w:lang w:eastAsia="en-US"/>
        </w:rPr>
        <w:t xml:space="preserve">.</w:t>
      </w:r>
      <w:r>
        <w:rPr>
          <w:rFonts w:ascii="PT Astra Serif" w:hAnsi="PT Astra Serif" w:eastAsia="Calibri"/>
          <w:sz w:val="28"/>
          <w:szCs w:val="28"/>
          <w:lang w:eastAsia="en-US"/>
        </w:rPr>
      </w:r>
      <w:r>
        <w:rPr>
          <w:rFonts w:ascii="PT Astra Serif" w:hAnsi="PT Astra Serif" w:eastAsia="Calibri"/>
          <w:sz w:val="28"/>
          <w:szCs w:val="28"/>
          <w:lang w:eastAsia="en-US"/>
        </w:rPr>
      </w:r>
    </w:p>
    <w:p>
      <w:pPr>
        <w:pBdr/>
        <w:spacing w:line="240" w:lineRule="auto"/>
        <w:ind w:firstLine="709"/>
        <w:jc w:val="both"/>
        <w:rPr>
          <w:rFonts w:ascii="PT Astra Serif" w:hAnsi="PT Astra Serif" w:eastAsia="Calibri"/>
          <w:sz w:val="28"/>
          <w:szCs w:val="28"/>
          <w:highlight w:val="white"/>
        </w:rPr>
      </w:pP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3.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4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. 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Учащиеся, отказа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вшиеся от участия в образовательной программе, коллегиальным решением директора Центра «Алые паруса» и педагога программы, могут быть заменены на следующих за ними по рейтингу. Внесение изменений в список участников образовательной программы проводится до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 8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сентября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202</w:t>
      </w:r>
      <w:r>
        <w:rPr>
          <w:rFonts w:ascii="PT Astra Serif" w:hAnsi="PT Astra Serif" w:eastAsia="Calibri"/>
          <w:sz w:val="28"/>
          <w:szCs w:val="28"/>
          <w:highlight w:val="white"/>
          <w:lang w:val="ru-RU"/>
        </w:rPr>
        <w:t xml:space="preserve">5</w:t>
      </w:r>
      <w:r>
        <w:rPr>
          <w:rFonts w:ascii="PT Astra Serif" w:hAnsi="PT Astra Serif" w:eastAsia="Calibri"/>
          <w:sz w:val="28"/>
          <w:szCs w:val="28"/>
          <w:highlight w:val="white"/>
          <w:lang w:eastAsia="en-US"/>
        </w:rPr>
        <w:t xml:space="preserve"> года.</w:t>
      </w:r>
      <w:r>
        <w:rPr>
          <w:rFonts w:ascii="PT Astra Serif" w:hAnsi="PT Astra Serif" w:eastAsia="Calibri"/>
          <w:sz w:val="28"/>
          <w:szCs w:val="28"/>
          <w:highlight w:val="white"/>
        </w:rPr>
      </w:r>
      <w:r>
        <w:rPr>
          <w:rFonts w:ascii="PT Astra Serif" w:hAnsi="PT Astra Serif" w:eastAsia="Calibri"/>
          <w:sz w:val="28"/>
          <w:szCs w:val="28"/>
          <w:highlight w:val="white"/>
        </w:rPr>
      </w:r>
    </w:p>
    <w:p>
      <w:pPr>
        <w:pBdr/>
        <w:spacing w:line="240" w:lineRule="auto"/>
        <w:ind/>
        <w:jc w:val="center"/>
        <w:rPr>
          <w:rFonts w:ascii="PT Astra Serif" w:hAnsi="PT Astra Serif" w:eastAsia="Calibri"/>
          <w:b/>
          <w:sz w:val="28"/>
          <w:szCs w:val="28"/>
          <w:lang w:eastAsia="en-US"/>
        </w:rPr>
      </w:pPr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4.</w:t>
      </w:r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 </w:t>
      </w:r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Аннотация </w:t>
      </w:r>
      <w:r>
        <w:rPr>
          <w:rFonts w:ascii="PT Astra Serif" w:hAnsi="PT Astra Serif" w:eastAsia="Calibri"/>
          <w:b/>
          <w:sz w:val="28"/>
          <w:szCs w:val="28"/>
          <w:lang w:eastAsia="en-US"/>
        </w:rPr>
        <w:t xml:space="preserve">образовательной программы</w:t>
      </w:r>
      <w:r>
        <w:rPr>
          <w:rFonts w:ascii="PT Astra Serif" w:hAnsi="PT Astra Serif" w:eastAsia="Calibri"/>
          <w:b/>
          <w:sz w:val="28"/>
          <w:szCs w:val="28"/>
          <w:lang w:eastAsia="en-US"/>
        </w:rPr>
      </w:r>
      <w:r>
        <w:rPr>
          <w:rFonts w:ascii="PT Astra Serif" w:hAnsi="PT Astra Serif" w:eastAsia="Calibri"/>
          <w:b/>
          <w:sz w:val="28"/>
          <w:szCs w:val="28"/>
          <w:lang w:eastAsia="en-US"/>
        </w:rPr>
      </w:r>
    </w:p>
    <w:p>
      <w:pPr>
        <w:pBdr/>
        <w:spacing w:line="240" w:lineRule="auto"/>
        <w:ind w:right="0" w:firstLine="567" w:left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 w:eastAsiaTheme="minorHAnsi"/>
          <w:sz w:val="28"/>
          <w:szCs w:val="28"/>
          <w:lang w:eastAsia="en-US"/>
        </w:rPr>
        <w:t xml:space="preserve">Программа состоит из 2 модулей, включающих теоретическую и практическую части.</w:t>
      </w:r>
      <w:r>
        <w:rPr>
          <w:rFonts w:ascii="PT Astra Serif" w:hAnsi="PT Astra Serif" w:eastAsia="PT Astra Serif" w:cs="PT Astra Serif" w:eastAsiaTheme="minorHAnsi"/>
          <w:sz w:val="28"/>
          <w:szCs w:val="28"/>
          <w:lang w:eastAsia="en-US"/>
        </w:rPr>
        <w:t xml:space="preserve">Модули представляют собой содержательно самостоятельные программы, которые могут осваиваться обучающимися как последовательно, следуя принципу от простого к сложному, так и по отдельности, как программы отдельных курсов.</w:t>
      </w:r>
      <w:r>
        <w:rPr>
          <w:rFonts w:ascii="PT Astra Serif" w:hAnsi="PT Astra Serif" w:eastAsia="PT Astra Serif" w:cs="PT Astra Serif" w:eastAsiaTheme="minorHAnsi"/>
          <w:sz w:val="28"/>
          <w:szCs w:val="28"/>
          <w:lang w:val="ru-RU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eastAsia="PT Astra Serif" w:cs="PT Astra Serif" w:eastAsiaTheme="minorHAnsi"/>
          <w:sz w:val="28"/>
          <w:szCs w:val="28"/>
          <w:lang w:eastAsia="en-US"/>
        </w:rPr>
        <w:t xml:space="preserve">Для определения готовности обучающегося к освоению каждого из модулей программы, перед началом обучения проводится тестирование.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b w:val="0"/>
          <w:sz w:val="28"/>
          <w:szCs w:val="28"/>
        </w:rPr>
        <w:t xml:space="preserve">На занятиях учащиеся </w:t>
      </w:r>
      <w:r>
        <w:rPr>
          <w:rFonts w:ascii="PT Astra Serif" w:hAnsi="PT Astra Serif" w:eastAsia="PT Astra Serif" w:cs="PT Astra Serif"/>
          <w:b w:val="0"/>
          <w:sz w:val="28"/>
          <w:szCs w:val="28"/>
        </w:rPr>
        <w:t xml:space="preserve">знакомятся с теоретическими аспектами и синтаксисом языка, а также обучатся практическим навыкам программирования в среде Python. Занятия начинаются с практического знакомства со средой программирования Python, далее идет непосредственное изучени</w:t>
      </w:r>
      <w:r>
        <w:rPr>
          <w:rFonts w:ascii="PT Astra Serif" w:hAnsi="PT Astra Serif" w:eastAsia="PT Astra Serif" w:cs="PT Astra Serif"/>
          <w:b w:val="0"/>
          <w:sz w:val="28"/>
          <w:szCs w:val="28"/>
        </w:rPr>
        <w:t xml:space="preserve">е синтаксических конструкций языка и отработка навыков применения элементов программирования при решении задач и создании игр. Каждая новая тема завершается практическими задачами, способствующими овладению методики программирования и изучению языка Python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567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26" w:default="1">
    <w:name w:val="Default Paragraph Font"/>
    <w:uiPriority w:val="1"/>
    <w:semiHidden/>
    <w:unhideWhenUsed/>
    <w:pPr>
      <w:pBdr/>
      <w:spacing/>
      <w:ind/>
    </w:pPr>
  </w:style>
  <w:style w:type="paragraph" w:styleId="1_635" w:customStyle="1">
    <w:name w:val="Основной текст (5)"/>
    <w:uiPriority w:val="99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clear" w:color="auto" w:fill="ffffff"/>
      <w:spacing w:after="420" w:afterAutospacing="0" w:before="0" w:beforeAutospacing="0" w:line="230" w:lineRule="exact"/>
      <w:ind w:right="0" w:firstLine="0" w:left="0"/>
      <w:contextualSpacing w:val="false"/>
      <w:jc w:val="center"/>
    </w:pPr>
    <w:rPr>
      <w:rFonts w:asciiTheme="minorHAnsi" w:hAnsiTheme="minorHAnsi" w:eastAsia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18"/>
      <w:szCs w:val="1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1_634" w:customStyle="1">
    <w:name w:val="К. Основной текст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hd w:val="clear" w:color="auto" w:fill="auto"/>
      <w:tabs>
        <w:tab w:val="left" w:leader="none" w:pos="1418"/>
      </w:tabs>
      <w:spacing w:after="0" w:afterAutospacing="0" w:before="0" w:beforeAutospacing="0" w:line="288" w:lineRule="auto"/>
      <w:ind w:right="0" w:firstLine="567" w:left="0"/>
      <w:contextualSpacing w:val="true"/>
      <w:jc w:val="both"/>
      <w:outlineLvl w:val="9"/>
    </w:pPr>
    <w:rPr>
      <w:rFonts w:ascii="PT Astra Serif" w:hAnsi="PT Astra Serif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2025-09-19T12:55:13Z</dcterms:modified>
</cp:coreProperties>
</file>

<file path=oform/_rels/main.xml.rels><?xml version="1.0" encoding="UTF-8" standalone="yes"?><Relationships xmlns="http://schemas.openxmlformats.org/package/2006/relationships"><Relationship Id="rId1" Target="userMasters/default.xml"/></Relationships>
</file>

<file path=oform/main.xml><?xml version="1.0" encoding="utf-8"?>
<document xmlns:r="http://schemas.openxmlformats.org/officeDocument/2006/relationships">
  <defaultUser r:id="rId1"/>
  <fieldGroup weight="0">
    <user r:id="rId1"/>
  </fieldGroup>
</document>
</file>

<file path=oform/userMasters/default.xml><?xml version="1.0" encoding="utf-8"?>
<user>
  <role>Любой</role>
  <color val="FFEFBF"/>
</user>
</file>